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 № 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заседания комиссии по расследованию тяжелого несчастного случая на производстве,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происшедшего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»___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____2022 г. с кровельщиком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 » 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__2022 г. в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по адресу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ПРИСУТСТВОВАЛИ: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 установлении степени вины пострадавшего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в происшедшем несчастном случае.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 повестке дня с информацией выступил член комиссии, представитель работодателя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который обосновал наличие в действиях пострадавшего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грубой неосторожности.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Несчастный случай с кровельщиком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произошел в результате грубой неосторожности пострадавшего, выразившейся в совершении действий, характерных для лица, находящегося в состоянии алкогольного опьянения.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Установить (предварительно) степень вины пострадавшего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происшедшем несчастном случае в размере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Направить протокол с решением комиссии и необходимые материалы расследования несчастного случая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дачи ими заключения о степени вины потерпевшего.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Вернуться к обсуждению вопроса о степени вины пострадавшего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после получения заключения профсоюзного комитета.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Решение принято комиссией единогласно.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ef260dc752d489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